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7C" w:rsidRDefault="00CD337C">
      <w:pPr>
        <w:rPr>
          <w:lang w:val="en-US"/>
        </w:rPr>
      </w:pPr>
    </w:p>
    <w:p w:rsidR="00CB1EE6" w:rsidRDefault="00A063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E6" w:rsidRDefault="00CB1EE6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EE6">
        <w:rPr>
          <w:rFonts w:ascii="Times New Roman" w:hAnsi="Times New Roman" w:cs="Times New Roman"/>
          <w:sz w:val="24"/>
          <w:szCs w:val="24"/>
        </w:rPr>
        <w:t xml:space="preserve">Счетной палатой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A063F0">
        <w:rPr>
          <w:rFonts w:ascii="Times New Roman" w:hAnsi="Times New Roman" w:cs="Times New Roman"/>
          <w:sz w:val="24"/>
          <w:szCs w:val="24"/>
        </w:rPr>
        <w:t xml:space="preserve"> Московской области проведено экспертно-аналитическое мероприятие «Внешняя проверка бюджетной отчетности Администрации городского округа Домодедово за 2024 год».</w:t>
      </w:r>
    </w:p>
    <w:p w:rsidR="00A063F0" w:rsidRDefault="00A063F0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экспертно-аналитического мероприятия: пункт 1.2 раздела 1 «Экспертно-аналитические мероприятия» Плана работы Счетной палаты городского округа Домодедово на 2025 год, утвержденного приказом председателя Счетной палаты от 24.01.2025 №46-3/1</w:t>
      </w:r>
    </w:p>
    <w:p w:rsidR="00FD54C1" w:rsidRDefault="00FD54C1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экспертно-аналитического мероприятия: Администрация городского округа Домодедово.</w:t>
      </w:r>
    </w:p>
    <w:p w:rsidR="00FD54C1" w:rsidRDefault="00FD54C1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(цели) экспертно-аналитического мероприятия: оценка достоверности, достаточности и обоснованности бюджетной отчетности, в том числе соответствия отчетности установленным требованиям, отсутствия в ней существенных искажений и заведомо искаженной информации.</w:t>
      </w:r>
    </w:p>
    <w:p w:rsidR="00FD54C1" w:rsidRDefault="00FD54C1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проверки использована годовая бюджетная отчетность Администрации городского округа Домодедово, информация об операциях по исполнению бюджета, предоставленная УФК по Московской области.</w:t>
      </w:r>
    </w:p>
    <w:p w:rsidR="00FD54C1" w:rsidRDefault="00FD54C1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выборочной проверки соответствия контрольных соотношений между показателями годовой бюджетной отчетности Администрации городского округа Домодедово и иных форм годовой бюджетной отчетности, предоставленных одновременно с ней установлено, что данные, представленные в годовой бюджетной отчетности, представленные в годовой бюджетной отчетности Администрации городского округа Домодедово, согласуются с данными форм годовой бюджетной отчетности,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контрольные соотношения между основными показателями форм годовой бюджетной отчетности соблюдены.</w:t>
      </w:r>
      <w:proofErr w:type="gramEnd"/>
    </w:p>
    <w:p w:rsidR="00FD54C1" w:rsidRPr="00CB1EE6" w:rsidRDefault="00FD54C1" w:rsidP="00FD54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подготовлено заключение по внешней проверке годовой бюджетной отчетности, которое направлено председателю Совета депутатов и Главе городского округа Домодедово.</w:t>
      </w:r>
      <w:bookmarkStart w:id="0" w:name="_GoBack"/>
      <w:bookmarkEnd w:id="0"/>
    </w:p>
    <w:sectPr w:rsidR="00FD54C1" w:rsidRPr="00CB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E6"/>
    <w:rsid w:val="0050076C"/>
    <w:rsid w:val="00A063F0"/>
    <w:rsid w:val="00CB1EE6"/>
    <w:rsid w:val="00CD337C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2025-04-21T11:56:00Z</dcterms:created>
  <dcterms:modified xsi:type="dcterms:W3CDTF">2025-04-21T12:17:00Z</dcterms:modified>
</cp:coreProperties>
</file>